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47" w:rsidRPr="002B3E47" w:rsidRDefault="002B3E47" w:rsidP="002B3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E47">
        <w:rPr>
          <w:rFonts w:ascii="Times New Roman" w:hAnsi="Times New Roman" w:cs="Times New Roman"/>
          <w:b/>
          <w:sz w:val="28"/>
          <w:szCs w:val="28"/>
        </w:rPr>
        <w:t>Письмо Министерства здравоохранения РФ от 16 января 2014 г. № 17-2/10/2-184</w:t>
      </w:r>
      <w:proofErr w:type="gramStart"/>
      <w:r w:rsidRPr="002B3E4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B3E47">
        <w:rPr>
          <w:rFonts w:ascii="Times New Roman" w:hAnsi="Times New Roman" w:cs="Times New Roman"/>
          <w:b/>
          <w:sz w:val="28"/>
          <w:szCs w:val="28"/>
        </w:rPr>
        <w:t xml:space="preserve"> формировании единой правоприменительной практики в связи с вступлением в силу приказа Минздрава России от 6 августа 2013 г. № 529н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связи с вступлением в силу приказа Минздрава России от 06.08.2013 № 529н «Об утверждении номенклатуры медицинских организаций», зарегистрированного Минюстом России 13.09.2013, № 29950 (далее - приказ Минздрава России от 06.08.2013 № 529н), и в целях формирования единой правоприменительной практики сообщает следующее.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При разработке нормативного правового акта был избран подход, базирующийся на необходимости пересмотра действующей Единой номенклатуры государственных и муниципальных учреждений с учетом требований Федерального закона от 21.11.2011 г. № 323-ФЗ «Об основах охраны здоровья граждан в Российской Федерации» (далее - Федеральный закон).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Объектом регулирования приказа Минздрава России от 06.08.2013 № 529н являются медицинские организации. При этом в соответствии со статьей 2 Федерального закона медицинской организацией является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Перечень работ (услуг), составляющих медицинскую деятельность, определен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B3E4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B3E47">
        <w:rPr>
          <w:rFonts w:ascii="Times New Roman" w:hAnsi="Times New Roman" w:cs="Times New Roman"/>
          <w:sz w:val="28"/>
          <w:szCs w:val="28"/>
        </w:rPr>
        <w:t>»), утвержденным постановлением Правительства Российской Федерации от 16.10.2012 № 291.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По-видимому, в тексте предыдущего абзаца допущена опечатка. Дату названного постановления следует читать как "от 16.04.2012"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 связи с этим фармацевтические организации не относятся к объекту регулирования приказа Минздрава России от 06.08.2013 № 529н.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54 Гражданского кодекса Российской Федерации от 30.11.1994 № 51-ФЗ юридическое лицо должно иметь свое наименование, содержащее указание на его организационно-правовую форму. Наименования некоммерческих организаций, а в предусмотренных </w:t>
      </w:r>
      <w:r w:rsidRPr="002B3E47">
        <w:rPr>
          <w:rFonts w:ascii="Times New Roman" w:hAnsi="Times New Roman" w:cs="Times New Roman"/>
          <w:sz w:val="28"/>
          <w:szCs w:val="28"/>
        </w:rPr>
        <w:lastRenderedPageBreak/>
        <w:t>законом случаях наименования коммерческих организаций должны содержать указание на характер деятельности юридического лица.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06.08.2013 № 529н </w:t>
      </w:r>
      <w:proofErr w:type="gramStart"/>
      <w:r w:rsidRPr="002B3E47">
        <w:rPr>
          <w:rFonts w:ascii="Times New Roman" w:hAnsi="Times New Roman" w:cs="Times New Roman"/>
          <w:sz w:val="28"/>
          <w:szCs w:val="28"/>
        </w:rPr>
        <w:t>предусмотрено отражение вида деятельности в наименовании медицинской организации не зависимо</w:t>
      </w:r>
      <w:proofErr w:type="gramEnd"/>
      <w:r w:rsidRPr="002B3E47">
        <w:rPr>
          <w:rFonts w:ascii="Times New Roman" w:hAnsi="Times New Roman" w:cs="Times New Roman"/>
          <w:sz w:val="28"/>
          <w:szCs w:val="28"/>
        </w:rPr>
        <w:t xml:space="preserve"> от формы ее собственности.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Дополнительно сообщаем, что присвоение имен медицинским организациям не является предметом регулирования вышеуказанного приказа и регламентировано постановлением Правительства Российской Федерации от 31.01.2007 № 57 «О порядке присвоения имен благотворителей научным и образовательным учреждениям, учреждениям здравоохранения, культуры, социальной защиты, физической культуры и спорта, находящимся в ведении федеральных органов исполнительной власти, а также закрепленным за указанными учреждениями объектам недвижимого имущества».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E47">
        <w:rPr>
          <w:rFonts w:ascii="Times New Roman" w:hAnsi="Times New Roman" w:cs="Times New Roman"/>
          <w:sz w:val="28"/>
          <w:szCs w:val="28"/>
        </w:rPr>
        <w:t>Номенклатура медицинских организаций по территориальному признаку распространяется только на медицинские организации государственной и</w:t>
      </w:r>
      <w:proofErr w:type="gramEnd"/>
      <w:r w:rsidRPr="002B3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E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B3E47">
        <w:rPr>
          <w:rFonts w:ascii="Times New Roman" w:hAnsi="Times New Roman" w:cs="Times New Roman"/>
          <w:sz w:val="28"/>
          <w:szCs w:val="28"/>
        </w:rPr>
        <w:t xml:space="preserve"> систем здравоохранения.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классификатором объектов административно-территориального деления в Российской Федерации «центры» не являются объектами классификации в ОКАТО. </w:t>
      </w:r>
      <w:proofErr w:type="gramStart"/>
      <w:r w:rsidRPr="002B3E47">
        <w:rPr>
          <w:rFonts w:ascii="Times New Roman" w:hAnsi="Times New Roman" w:cs="Times New Roman"/>
          <w:sz w:val="28"/>
          <w:szCs w:val="28"/>
        </w:rPr>
        <w:t>Таким образом, присвоение наименования «центральный/центральная» (например, центральная клиническая больница или центральная районная больница) может быть предусмотрено учредителем медицинской организации в зависимости от уровня ее материально-технического оснащения, коечного фонда, географического расположения, а также роли конкретной медицинской организации в структуре организации оказания медицинской помощи в отдельно взятом субъекте Российской Федерации и (или) ведомстве.</w:t>
      </w:r>
      <w:proofErr w:type="gramEnd"/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Нормы, характеризующие структурные подразделения медицинских организаций (фельдшерско-акушерские пункты, здравпункты), ранее включенные в единую номенклатуру государственных и муниципальных учреждений здравоохранения, утвержденную приказом </w:t>
      </w:r>
      <w:proofErr w:type="spellStart"/>
      <w:r w:rsidRPr="002B3E4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B3E47">
        <w:rPr>
          <w:rFonts w:ascii="Times New Roman" w:hAnsi="Times New Roman" w:cs="Times New Roman"/>
          <w:sz w:val="28"/>
          <w:szCs w:val="28"/>
        </w:rPr>
        <w:t xml:space="preserve"> России от 07.10.2005 № 627, были исключены. Вместе с тем это не влечет возникновения пробела правового регулирования. Приказом </w:t>
      </w:r>
      <w:proofErr w:type="spellStart"/>
      <w:r w:rsidRPr="002B3E4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B3E47">
        <w:rPr>
          <w:rFonts w:ascii="Times New Roman" w:hAnsi="Times New Roman" w:cs="Times New Roman"/>
          <w:sz w:val="28"/>
          <w:szCs w:val="28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 утверждены правила организации деятельности следующих структурных подразделений медицинских организаций: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поликлиника,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lastRenderedPageBreak/>
        <w:t>кабинет,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кабинет врача общей практики (семейного врача),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отделение (кабинет) профилактики,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мобильная медицинская бригада,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дневной стационар,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врачебная амбулатория,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фельдшерско-акушерский пункт,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фельдшерский здравпункт,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центр (отделение) общей врачебной практики (семейной медицины),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центр здоровья.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Вышеуказанным приказом также утверждены правила организации деятельности самостоятельных медицинских организаций: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поликлиника,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врачебная амбулатория,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центр общей врачебной практики (семейной медицины).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Все указанные самостоятельные медицинские организации включены в приказ Минздрава России от 06.08.2013 № 529н.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E47">
        <w:rPr>
          <w:rFonts w:ascii="Times New Roman" w:hAnsi="Times New Roman" w:cs="Times New Roman"/>
          <w:sz w:val="28"/>
          <w:szCs w:val="28"/>
        </w:rPr>
        <w:t>Кроме того, подробная детализация наименований центров, предусмотренных приказом Минздрава России от 06.08.2013 № 529н, основана на утвержденных Минздравом России порядках оказания медицинской помощи и постановлении Правительства Российской Федерации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</w:t>
      </w:r>
      <w:proofErr w:type="gramEnd"/>
      <w:r w:rsidRPr="002B3E47">
        <w:rPr>
          <w:rFonts w:ascii="Times New Roman" w:hAnsi="Times New Roman" w:cs="Times New Roman"/>
          <w:sz w:val="28"/>
          <w:szCs w:val="28"/>
        </w:rPr>
        <w:t>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 соответствии с пунктом 6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все проекты приказов были размещены на официальном сайте Минздрава России в сети Интернет для проведения независимой антикоррупционной экспертизы.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Также Минздравом России в соответствии с пунктом 19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</w:t>
      </w:r>
      <w:r w:rsidRPr="002B3E47">
        <w:rPr>
          <w:rFonts w:ascii="Times New Roman" w:hAnsi="Times New Roman" w:cs="Times New Roman"/>
          <w:sz w:val="28"/>
          <w:szCs w:val="28"/>
        </w:rPr>
        <w:lastRenderedPageBreak/>
        <w:t>Федерации от 25 августа 2012 г. № 851, было организовано проведение общественных обсуждений проектов приказов.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нормативные правовые акты, зарегистрированные Минюстом России, вступают в законную силу после официальной публикации и действуют на всей территории Российской Федерации.     </w:t>
      </w:r>
      <w:r w:rsidRPr="002B3E47">
        <w:rPr>
          <w:rFonts w:ascii="Times New Roman" w:hAnsi="Times New Roman" w:cs="Times New Roman"/>
          <w:sz w:val="28"/>
          <w:szCs w:val="28"/>
        </w:rPr>
        <w:tab/>
        <w:t xml:space="preserve"> Т.В. Яковлева 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Обзор документа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Приказом Минздрава России от 06.08.2013 N 529н утверждена номенклатура медицинских организаций. Разъяснено, в частности, следующее.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Объектом регулирования названного приказа являются медицинские (но не фармацевтические) организации.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 наименовании медицинской организации отражается вид деятельности независимо от формы ее собственности. При этом присвоение имен медицинским организациям не является предметом регулирования данного приказа.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Номенклатура медицинских организаций по территориальному признаку распространяется только на организации государственной и муниципальной систем здравоохранения.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 соответствии с ОКАТО "центры" не являются объектами классификации. Присвоение наименования "</w:t>
      </w:r>
      <w:proofErr w:type="gramStart"/>
      <w:r w:rsidRPr="002B3E47"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 w:rsidRPr="002B3E47">
        <w:rPr>
          <w:rFonts w:ascii="Times New Roman" w:hAnsi="Times New Roman" w:cs="Times New Roman"/>
          <w:sz w:val="28"/>
          <w:szCs w:val="28"/>
        </w:rPr>
        <w:t xml:space="preserve">/центральная" (например, центральная клиническая/районная больница) может быть предусмотрено учредителем </w:t>
      </w:r>
      <w:proofErr w:type="spellStart"/>
      <w:r w:rsidRPr="002B3E47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2B3E47">
        <w:rPr>
          <w:rFonts w:ascii="Times New Roman" w:hAnsi="Times New Roman" w:cs="Times New Roman"/>
          <w:sz w:val="28"/>
          <w:szCs w:val="28"/>
        </w:rPr>
        <w:t xml:space="preserve"> в зависимости от уровня ее материально-технического оснащения, коечного фонда, географического расположения, роли в структуре организации оказания медпомощи в отдельно взятом субъекте Федерации и (или) ведомстве.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Положение от 2012 г. об организации оказания первичной медико-санитарной помощи взрослому населению содержит правила организации деятельности определенных структурных подразделений </w:t>
      </w:r>
      <w:proofErr w:type="spellStart"/>
      <w:r w:rsidRPr="002B3E47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2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3E47">
        <w:rPr>
          <w:rFonts w:ascii="Times New Roman" w:hAnsi="Times New Roman" w:cs="Times New Roman"/>
          <w:sz w:val="28"/>
          <w:szCs w:val="28"/>
        </w:rPr>
        <w:t>Это, в частности, поликлиника, кабинет врача общей практики (семейного врача), отделение (кабинет) профилактики, мобильная медицинская бригада, центр здоровья.</w:t>
      </w:r>
      <w:proofErr w:type="gramEnd"/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 xml:space="preserve">Здесь прописаны и правила организации деятельности </w:t>
      </w:r>
      <w:proofErr w:type="gramStart"/>
      <w:r w:rsidRPr="002B3E47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2B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47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2B3E47">
        <w:rPr>
          <w:rFonts w:ascii="Times New Roman" w:hAnsi="Times New Roman" w:cs="Times New Roman"/>
          <w:sz w:val="28"/>
          <w:szCs w:val="28"/>
        </w:rPr>
        <w:t xml:space="preserve"> - поликлиники, врачебной амбулатории, центра общей врачебной практики (семейной медицины).</w:t>
      </w:r>
    </w:p>
    <w:p w:rsidR="002B3E47" w:rsidRPr="002B3E47" w:rsidRDefault="002B3E47" w:rsidP="002B3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47">
        <w:rPr>
          <w:rFonts w:ascii="Times New Roman" w:hAnsi="Times New Roman" w:cs="Times New Roman"/>
          <w:sz w:val="28"/>
          <w:szCs w:val="28"/>
        </w:rPr>
        <w:t>Все указанные самостоятельные медицинские организации включены в вышеназванный приказ.</w:t>
      </w:r>
      <w:bookmarkStart w:id="0" w:name="_GoBack"/>
      <w:bookmarkEnd w:id="0"/>
    </w:p>
    <w:sectPr w:rsidR="002B3E47" w:rsidRPr="002B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F8"/>
    <w:rsid w:val="002B3E47"/>
    <w:rsid w:val="00875B7B"/>
    <w:rsid w:val="00AE50F8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5</cp:revision>
  <dcterms:created xsi:type="dcterms:W3CDTF">2014-02-22T04:39:00Z</dcterms:created>
  <dcterms:modified xsi:type="dcterms:W3CDTF">2014-02-27T16:30:00Z</dcterms:modified>
</cp:coreProperties>
</file>